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1110" w14:textId="45C186B0" w:rsidR="00587E0D" w:rsidRPr="00587E0D" w:rsidRDefault="00321012" w:rsidP="00587E0D">
      <w:pPr>
        <w:spacing w:before="396"/>
        <w:jc w:val="center"/>
        <w:rPr>
          <w:rFonts w:asciiTheme="majorBidi" w:hAnsiTheme="majorBidi" w:cstheme="majorBidi"/>
          <w:b/>
        </w:rPr>
      </w:pPr>
      <w:r>
        <w:rPr>
          <w:rFonts w:asciiTheme="majorBidi" w:hAnsiTheme="majorBidi" w:cstheme="majorBidi"/>
          <w:b/>
        </w:rPr>
        <w:t>A</w:t>
      </w:r>
      <w:r w:rsidR="00587E0D" w:rsidRPr="00587E0D">
        <w:rPr>
          <w:rFonts w:asciiTheme="majorBidi" w:hAnsiTheme="majorBidi" w:cstheme="majorBidi"/>
          <w:b/>
        </w:rPr>
        <w:t>pplicable from 1</w:t>
      </w:r>
      <w:r w:rsidR="00587E0D" w:rsidRPr="00587E0D">
        <w:rPr>
          <w:rFonts w:asciiTheme="majorBidi" w:hAnsiTheme="majorBidi" w:cstheme="majorBidi"/>
          <w:b/>
          <w:vertAlign w:val="superscript"/>
        </w:rPr>
        <w:t>st</w:t>
      </w:r>
      <w:r w:rsidR="00587E0D" w:rsidRPr="00587E0D">
        <w:rPr>
          <w:rFonts w:asciiTheme="majorBidi" w:hAnsiTheme="majorBidi" w:cstheme="majorBidi"/>
          <w:b/>
        </w:rPr>
        <w:t xml:space="preserve"> January 2023</w:t>
      </w:r>
    </w:p>
    <w:p w14:paraId="20988E49" w14:textId="5C141EEB" w:rsidR="00EC7FE4" w:rsidRPr="000F1583" w:rsidRDefault="00884912" w:rsidP="003128C5">
      <w:pPr>
        <w:spacing w:before="396"/>
        <w:ind w:left="864"/>
        <w:rPr>
          <w:rFonts w:asciiTheme="majorBidi" w:hAnsiTheme="majorBidi" w:cstheme="majorBidi"/>
          <w:bCs/>
        </w:rPr>
      </w:pPr>
      <w:r w:rsidRPr="000F1583">
        <w:rPr>
          <w:rFonts w:asciiTheme="majorBidi" w:hAnsiTheme="majorBidi" w:cstheme="majorBidi"/>
          <w:bCs/>
        </w:rPr>
        <w:t>Following are the details for accreditation fees involved from application till grant of accreditation and for continuation of accreditation;</w:t>
      </w:r>
    </w:p>
    <w:p w14:paraId="17973EF1" w14:textId="77777777" w:rsidR="00070C7B" w:rsidRPr="000F1583" w:rsidRDefault="00070C7B" w:rsidP="003128C5">
      <w:pPr>
        <w:spacing w:before="396"/>
        <w:ind w:left="864"/>
        <w:rPr>
          <w:rFonts w:asciiTheme="majorBidi" w:hAnsiTheme="majorBidi" w:cstheme="majorBidi"/>
          <w:bCs/>
        </w:rPr>
      </w:pPr>
    </w:p>
    <w:tbl>
      <w:tblPr>
        <w:tblStyle w:val="TableGrid"/>
        <w:tblW w:w="0" w:type="auto"/>
        <w:tblInd w:w="864" w:type="dxa"/>
        <w:tblLook w:val="04A0" w:firstRow="1" w:lastRow="0" w:firstColumn="1" w:lastColumn="0" w:noHBand="0" w:noVBand="1"/>
      </w:tblPr>
      <w:tblGrid>
        <w:gridCol w:w="594"/>
        <w:gridCol w:w="2430"/>
        <w:gridCol w:w="3150"/>
        <w:gridCol w:w="2970"/>
      </w:tblGrid>
      <w:tr w:rsidR="000F1583" w:rsidRPr="000F1583" w14:paraId="24C83540" w14:textId="77777777" w:rsidTr="00C773E0">
        <w:trPr>
          <w:trHeight w:val="665"/>
        </w:trPr>
        <w:tc>
          <w:tcPr>
            <w:tcW w:w="594" w:type="dxa"/>
          </w:tcPr>
          <w:p w14:paraId="205674C6"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S. #</w:t>
            </w:r>
          </w:p>
        </w:tc>
        <w:tc>
          <w:tcPr>
            <w:tcW w:w="2430" w:type="dxa"/>
          </w:tcPr>
          <w:p w14:paraId="2FCAA5E0"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Activities</w:t>
            </w:r>
          </w:p>
        </w:tc>
        <w:tc>
          <w:tcPr>
            <w:tcW w:w="3150" w:type="dxa"/>
          </w:tcPr>
          <w:p w14:paraId="0C4A42F7"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CABs within Pakistan</w:t>
            </w:r>
          </w:p>
          <w:p w14:paraId="17F7C73D"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(Pak Rs.)</w:t>
            </w:r>
          </w:p>
        </w:tc>
        <w:tc>
          <w:tcPr>
            <w:tcW w:w="2970" w:type="dxa"/>
          </w:tcPr>
          <w:p w14:paraId="17A329E8"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CABs outside Pakistan</w:t>
            </w:r>
          </w:p>
          <w:p w14:paraId="698B6C57" w14:textId="77777777" w:rsidR="00884912" w:rsidRPr="000F1583" w:rsidRDefault="00884912" w:rsidP="003128C5">
            <w:pPr>
              <w:pStyle w:val="NoSpacing"/>
              <w:jc w:val="center"/>
              <w:rPr>
                <w:rFonts w:asciiTheme="majorBidi" w:hAnsiTheme="majorBidi" w:cstheme="majorBidi"/>
                <w:b/>
              </w:rPr>
            </w:pPr>
            <w:r w:rsidRPr="000F1583">
              <w:rPr>
                <w:rFonts w:asciiTheme="majorBidi" w:hAnsiTheme="majorBidi" w:cstheme="majorBidi"/>
                <w:b/>
              </w:rPr>
              <w:t>(US Dollar)</w:t>
            </w:r>
          </w:p>
        </w:tc>
      </w:tr>
      <w:tr w:rsidR="000F1583" w:rsidRPr="000F1583" w14:paraId="75E30E7E" w14:textId="77777777" w:rsidTr="00C773E0">
        <w:tc>
          <w:tcPr>
            <w:tcW w:w="594" w:type="dxa"/>
          </w:tcPr>
          <w:p w14:paraId="2FAFA474" w14:textId="77777777" w:rsidR="00884912" w:rsidRPr="000F1583" w:rsidRDefault="00884912" w:rsidP="003128C5">
            <w:pPr>
              <w:pStyle w:val="NoSpacing"/>
              <w:numPr>
                <w:ilvl w:val="0"/>
                <w:numId w:val="3"/>
              </w:numPr>
              <w:rPr>
                <w:rFonts w:asciiTheme="majorBidi" w:hAnsiTheme="majorBidi" w:cstheme="majorBidi"/>
              </w:rPr>
            </w:pPr>
          </w:p>
        </w:tc>
        <w:tc>
          <w:tcPr>
            <w:tcW w:w="2430" w:type="dxa"/>
            <w:vAlign w:val="center"/>
          </w:tcPr>
          <w:p w14:paraId="0044C592" w14:textId="77777777" w:rsidR="00884912" w:rsidRPr="000F1583" w:rsidRDefault="008F3DB8" w:rsidP="003128C5">
            <w:pPr>
              <w:pStyle w:val="NoSpacing"/>
              <w:rPr>
                <w:rFonts w:asciiTheme="majorBidi" w:hAnsiTheme="majorBidi" w:cstheme="majorBidi"/>
              </w:rPr>
            </w:pPr>
            <w:r w:rsidRPr="000F1583">
              <w:rPr>
                <w:rFonts w:asciiTheme="majorBidi" w:hAnsiTheme="majorBidi" w:cstheme="majorBidi"/>
              </w:rPr>
              <w:t>Application Fee</w:t>
            </w:r>
          </w:p>
          <w:p w14:paraId="695C13D4" w14:textId="77777777" w:rsidR="00A662C4" w:rsidRPr="000F1583" w:rsidRDefault="00A662C4" w:rsidP="003128C5">
            <w:pPr>
              <w:pStyle w:val="NoSpacing"/>
              <w:rPr>
                <w:rFonts w:asciiTheme="majorBidi" w:hAnsiTheme="majorBidi" w:cstheme="majorBidi"/>
              </w:rPr>
            </w:pPr>
          </w:p>
        </w:tc>
        <w:tc>
          <w:tcPr>
            <w:tcW w:w="3150" w:type="dxa"/>
            <w:vAlign w:val="center"/>
          </w:tcPr>
          <w:p w14:paraId="0C71A927" w14:textId="41343F7A" w:rsidR="00884912" w:rsidRPr="000F1583" w:rsidRDefault="00587E0D" w:rsidP="003128C5">
            <w:pPr>
              <w:pStyle w:val="NoSpacing"/>
              <w:jc w:val="right"/>
              <w:rPr>
                <w:rFonts w:asciiTheme="majorBidi" w:hAnsiTheme="majorBidi" w:cstheme="majorBidi"/>
              </w:rPr>
            </w:pPr>
            <w:r>
              <w:rPr>
                <w:rFonts w:asciiTheme="majorBidi" w:hAnsiTheme="majorBidi" w:cstheme="majorBidi"/>
              </w:rPr>
              <w:t>50</w:t>
            </w:r>
            <w:r w:rsidR="002868EA" w:rsidRPr="000F1583">
              <w:rPr>
                <w:rFonts w:asciiTheme="majorBidi" w:hAnsiTheme="majorBidi" w:cstheme="majorBidi"/>
              </w:rPr>
              <w:t>,000</w:t>
            </w:r>
          </w:p>
        </w:tc>
        <w:tc>
          <w:tcPr>
            <w:tcW w:w="2970" w:type="dxa"/>
            <w:vAlign w:val="center"/>
          </w:tcPr>
          <w:p w14:paraId="7F72E5B3" w14:textId="77777777" w:rsidR="00884912" w:rsidRPr="000F1583" w:rsidRDefault="002868EA" w:rsidP="003128C5">
            <w:pPr>
              <w:pStyle w:val="NoSpacing"/>
              <w:jc w:val="right"/>
              <w:rPr>
                <w:rFonts w:asciiTheme="majorBidi" w:hAnsiTheme="majorBidi" w:cstheme="majorBidi"/>
              </w:rPr>
            </w:pPr>
            <w:r w:rsidRPr="000F1583">
              <w:rPr>
                <w:rFonts w:asciiTheme="majorBidi" w:hAnsiTheme="majorBidi" w:cstheme="majorBidi"/>
              </w:rPr>
              <w:t>250</w:t>
            </w:r>
          </w:p>
        </w:tc>
      </w:tr>
      <w:tr w:rsidR="000F1583" w:rsidRPr="000F1583" w14:paraId="54C25203" w14:textId="77777777" w:rsidTr="00C773E0">
        <w:tc>
          <w:tcPr>
            <w:tcW w:w="594" w:type="dxa"/>
          </w:tcPr>
          <w:p w14:paraId="22AFEB64" w14:textId="77777777" w:rsidR="00884912" w:rsidRPr="000F1583" w:rsidRDefault="00884912" w:rsidP="003128C5">
            <w:pPr>
              <w:pStyle w:val="NoSpacing"/>
              <w:numPr>
                <w:ilvl w:val="0"/>
                <w:numId w:val="3"/>
              </w:numPr>
              <w:rPr>
                <w:rFonts w:asciiTheme="majorBidi" w:hAnsiTheme="majorBidi" w:cstheme="majorBidi"/>
              </w:rPr>
            </w:pPr>
          </w:p>
        </w:tc>
        <w:tc>
          <w:tcPr>
            <w:tcW w:w="2430" w:type="dxa"/>
            <w:vAlign w:val="center"/>
          </w:tcPr>
          <w:p w14:paraId="51E6194B" w14:textId="77777777" w:rsidR="00884912" w:rsidRPr="000F1583" w:rsidRDefault="00A662C4" w:rsidP="003128C5">
            <w:pPr>
              <w:pStyle w:val="NoSpacing"/>
              <w:rPr>
                <w:rFonts w:asciiTheme="majorBidi" w:hAnsiTheme="majorBidi" w:cstheme="majorBidi"/>
              </w:rPr>
            </w:pPr>
            <w:r w:rsidRPr="000F1583">
              <w:rPr>
                <w:rFonts w:asciiTheme="majorBidi" w:hAnsiTheme="majorBidi" w:cstheme="majorBidi"/>
              </w:rPr>
              <w:t>Assessment fee per man day</w:t>
            </w:r>
          </w:p>
        </w:tc>
        <w:tc>
          <w:tcPr>
            <w:tcW w:w="3150" w:type="dxa"/>
            <w:vAlign w:val="center"/>
          </w:tcPr>
          <w:p w14:paraId="03653468" w14:textId="5F6D1241" w:rsidR="00884912" w:rsidRPr="000F1583" w:rsidRDefault="00587E0D" w:rsidP="003128C5">
            <w:pPr>
              <w:pStyle w:val="NoSpacing"/>
              <w:jc w:val="right"/>
              <w:rPr>
                <w:rFonts w:asciiTheme="majorBidi" w:hAnsiTheme="majorBidi" w:cstheme="majorBidi"/>
              </w:rPr>
            </w:pPr>
            <w:r>
              <w:rPr>
                <w:rFonts w:asciiTheme="majorBidi" w:hAnsiTheme="majorBidi" w:cstheme="majorBidi"/>
              </w:rPr>
              <w:t>50</w:t>
            </w:r>
            <w:r w:rsidR="00A662C4" w:rsidRPr="000F1583">
              <w:rPr>
                <w:rFonts w:asciiTheme="majorBidi" w:hAnsiTheme="majorBidi" w:cstheme="majorBidi"/>
              </w:rPr>
              <w:t>,000</w:t>
            </w:r>
          </w:p>
        </w:tc>
        <w:tc>
          <w:tcPr>
            <w:tcW w:w="2970" w:type="dxa"/>
            <w:vAlign w:val="center"/>
          </w:tcPr>
          <w:p w14:paraId="5C982B4F" w14:textId="0B38373B" w:rsidR="00884912" w:rsidRPr="000F1583" w:rsidRDefault="00B92FC6" w:rsidP="003128C5">
            <w:pPr>
              <w:pStyle w:val="NoSpacing"/>
              <w:jc w:val="right"/>
              <w:rPr>
                <w:rFonts w:asciiTheme="majorBidi" w:hAnsiTheme="majorBidi" w:cstheme="majorBidi"/>
              </w:rPr>
            </w:pPr>
            <w:r>
              <w:rPr>
                <w:rFonts w:asciiTheme="majorBidi" w:hAnsiTheme="majorBidi" w:cstheme="majorBidi"/>
              </w:rPr>
              <w:t>8</w:t>
            </w:r>
            <w:r w:rsidR="00A662C4" w:rsidRPr="000F1583">
              <w:rPr>
                <w:rFonts w:asciiTheme="majorBidi" w:hAnsiTheme="majorBidi" w:cstheme="majorBidi"/>
              </w:rPr>
              <w:t>00</w:t>
            </w:r>
          </w:p>
        </w:tc>
      </w:tr>
      <w:tr w:rsidR="000F1583" w:rsidRPr="000F1583" w14:paraId="7BCBB1D1" w14:textId="77777777" w:rsidTr="00C773E0">
        <w:tc>
          <w:tcPr>
            <w:tcW w:w="594" w:type="dxa"/>
          </w:tcPr>
          <w:p w14:paraId="3DD10E8A" w14:textId="77777777" w:rsidR="00884912" w:rsidRPr="000F1583" w:rsidRDefault="00884912" w:rsidP="003128C5">
            <w:pPr>
              <w:pStyle w:val="NoSpacing"/>
              <w:numPr>
                <w:ilvl w:val="0"/>
                <w:numId w:val="3"/>
              </w:numPr>
              <w:rPr>
                <w:rFonts w:asciiTheme="majorBidi" w:hAnsiTheme="majorBidi" w:cstheme="majorBidi"/>
              </w:rPr>
            </w:pPr>
          </w:p>
        </w:tc>
        <w:tc>
          <w:tcPr>
            <w:tcW w:w="2430" w:type="dxa"/>
            <w:vAlign w:val="center"/>
          </w:tcPr>
          <w:p w14:paraId="1827889F" w14:textId="77777777" w:rsidR="00884912" w:rsidRPr="000F1583" w:rsidRDefault="00DE497A" w:rsidP="003128C5">
            <w:pPr>
              <w:pStyle w:val="NoSpacing"/>
              <w:rPr>
                <w:rFonts w:asciiTheme="majorBidi" w:hAnsiTheme="majorBidi" w:cstheme="majorBidi"/>
              </w:rPr>
            </w:pPr>
            <w:r w:rsidRPr="000F1583">
              <w:rPr>
                <w:rFonts w:asciiTheme="majorBidi" w:hAnsiTheme="majorBidi" w:cstheme="majorBidi"/>
              </w:rPr>
              <w:t>Annual License fee</w:t>
            </w:r>
          </w:p>
          <w:p w14:paraId="3FB0EFFD" w14:textId="77777777" w:rsidR="00A662C4" w:rsidRPr="000F1583" w:rsidRDefault="00A662C4" w:rsidP="003128C5">
            <w:pPr>
              <w:pStyle w:val="NoSpacing"/>
              <w:rPr>
                <w:rFonts w:asciiTheme="majorBidi" w:hAnsiTheme="majorBidi" w:cstheme="majorBidi"/>
              </w:rPr>
            </w:pPr>
          </w:p>
        </w:tc>
        <w:tc>
          <w:tcPr>
            <w:tcW w:w="3150" w:type="dxa"/>
            <w:vAlign w:val="center"/>
          </w:tcPr>
          <w:p w14:paraId="01F3878B" w14:textId="750057EB" w:rsidR="00884912" w:rsidRPr="000F1583" w:rsidRDefault="00587E0D" w:rsidP="003128C5">
            <w:pPr>
              <w:pStyle w:val="NoSpacing"/>
              <w:jc w:val="right"/>
              <w:rPr>
                <w:rFonts w:asciiTheme="majorBidi" w:hAnsiTheme="majorBidi" w:cstheme="majorBidi"/>
              </w:rPr>
            </w:pPr>
            <w:r>
              <w:rPr>
                <w:rFonts w:asciiTheme="majorBidi" w:hAnsiTheme="majorBidi" w:cstheme="majorBidi"/>
              </w:rPr>
              <w:t>50</w:t>
            </w:r>
            <w:r w:rsidR="00DE497A" w:rsidRPr="000F1583">
              <w:rPr>
                <w:rFonts w:asciiTheme="majorBidi" w:hAnsiTheme="majorBidi" w:cstheme="majorBidi"/>
              </w:rPr>
              <w:t>,000</w:t>
            </w:r>
          </w:p>
        </w:tc>
        <w:tc>
          <w:tcPr>
            <w:tcW w:w="2970" w:type="dxa"/>
            <w:vAlign w:val="center"/>
          </w:tcPr>
          <w:p w14:paraId="76A38FAC" w14:textId="0050A9E3" w:rsidR="00884912" w:rsidRPr="000F1583" w:rsidRDefault="00B92FC6" w:rsidP="003128C5">
            <w:pPr>
              <w:pStyle w:val="NoSpacing"/>
              <w:jc w:val="right"/>
              <w:rPr>
                <w:rFonts w:asciiTheme="majorBidi" w:hAnsiTheme="majorBidi" w:cstheme="majorBidi"/>
              </w:rPr>
            </w:pPr>
            <w:r>
              <w:rPr>
                <w:rFonts w:asciiTheme="majorBidi" w:hAnsiTheme="majorBidi" w:cstheme="majorBidi"/>
              </w:rPr>
              <w:t>8</w:t>
            </w:r>
            <w:r w:rsidR="00DE497A" w:rsidRPr="000F1583">
              <w:rPr>
                <w:rFonts w:asciiTheme="majorBidi" w:hAnsiTheme="majorBidi" w:cstheme="majorBidi"/>
              </w:rPr>
              <w:t>00</w:t>
            </w:r>
          </w:p>
        </w:tc>
      </w:tr>
      <w:tr w:rsidR="000F1583" w:rsidRPr="000F1583" w14:paraId="282DB0C5" w14:textId="77777777" w:rsidTr="00C773E0">
        <w:tc>
          <w:tcPr>
            <w:tcW w:w="594" w:type="dxa"/>
          </w:tcPr>
          <w:p w14:paraId="5071AB44" w14:textId="77777777" w:rsidR="00C73D17" w:rsidRPr="000F1583" w:rsidRDefault="00C73D17" w:rsidP="003128C5">
            <w:pPr>
              <w:pStyle w:val="NoSpacing"/>
              <w:numPr>
                <w:ilvl w:val="0"/>
                <w:numId w:val="3"/>
              </w:numPr>
              <w:rPr>
                <w:rFonts w:asciiTheme="majorBidi" w:hAnsiTheme="majorBidi" w:cstheme="majorBidi"/>
              </w:rPr>
            </w:pPr>
          </w:p>
        </w:tc>
        <w:tc>
          <w:tcPr>
            <w:tcW w:w="2430" w:type="dxa"/>
            <w:vAlign w:val="center"/>
          </w:tcPr>
          <w:p w14:paraId="33C431C9" w14:textId="77777777" w:rsidR="00C73D17" w:rsidRPr="000F1583" w:rsidRDefault="00C73D17" w:rsidP="003128C5">
            <w:pPr>
              <w:pStyle w:val="NoSpacing"/>
              <w:rPr>
                <w:rFonts w:asciiTheme="majorBidi" w:hAnsiTheme="majorBidi" w:cstheme="majorBidi"/>
              </w:rPr>
            </w:pPr>
            <w:r w:rsidRPr="000F1583">
              <w:rPr>
                <w:rFonts w:asciiTheme="majorBidi" w:hAnsiTheme="majorBidi" w:cstheme="majorBidi"/>
              </w:rPr>
              <w:t>Renewal and Scope Extension Fee</w:t>
            </w:r>
          </w:p>
          <w:p w14:paraId="08B6BCF2" w14:textId="77777777" w:rsidR="00C73D17" w:rsidRPr="000F1583" w:rsidRDefault="00C73D17" w:rsidP="003128C5">
            <w:pPr>
              <w:pStyle w:val="NoSpacing"/>
              <w:rPr>
                <w:rFonts w:asciiTheme="majorBidi" w:hAnsiTheme="majorBidi" w:cstheme="majorBidi"/>
              </w:rPr>
            </w:pPr>
          </w:p>
        </w:tc>
        <w:tc>
          <w:tcPr>
            <w:tcW w:w="3150" w:type="dxa"/>
            <w:vAlign w:val="center"/>
          </w:tcPr>
          <w:p w14:paraId="657B49FB" w14:textId="1CE72A43" w:rsidR="00C73D17" w:rsidRPr="000F1583" w:rsidRDefault="00587E0D" w:rsidP="003128C5">
            <w:pPr>
              <w:pStyle w:val="NoSpacing"/>
              <w:jc w:val="right"/>
              <w:rPr>
                <w:rFonts w:asciiTheme="majorBidi" w:hAnsiTheme="majorBidi" w:cstheme="majorBidi"/>
              </w:rPr>
            </w:pPr>
            <w:r>
              <w:rPr>
                <w:rFonts w:asciiTheme="majorBidi" w:hAnsiTheme="majorBidi" w:cstheme="majorBidi"/>
              </w:rPr>
              <w:t>50</w:t>
            </w:r>
            <w:r w:rsidR="00C73D17" w:rsidRPr="000F1583">
              <w:rPr>
                <w:rFonts w:asciiTheme="majorBidi" w:hAnsiTheme="majorBidi" w:cstheme="majorBidi"/>
              </w:rPr>
              <w:t>,000</w:t>
            </w:r>
          </w:p>
        </w:tc>
        <w:tc>
          <w:tcPr>
            <w:tcW w:w="2970" w:type="dxa"/>
            <w:vAlign w:val="center"/>
          </w:tcPr>
          <w:p w14:paraId="45D2199F" w14:textId="77777777" w:rsidR="00C73D17" w:rsidRPr="000F1583" w:rsidRDefault="00C73D17" w:rsidP="003128C5">
            <w:pPr>
              <w:pStyle w:val="NoSpacing"/>
              <w:jc w:val="right"/>
              <w:rPr>
                <w:rFonts w:asciiTheme="majorBidi" w:hAnsiTheme="majorBidi" w:cstheme="majorBidi"/>
              </w:rPr>
            </w:pPr>
            <w:r w:rsidRPr="000F1583">
              <w:rPr>
                <w:rFonts w:asciiTheme="majorBidi" w:hAnsiTheme="majorBidi" w:cstheme="majorBidi"/>
              </w:rPr>
              <w:t>250</w:t>
            </w:r>
          </w:p>
        </w:tc>
      </w:tr>
    </w:tbl>
    <w:p w14:paraId="7BE33E65" w14:textId="77777777" w:rsidR="00884912" w:rsidRPr="000F1583" w:rsidRDefault="0032019E" w:rsidP="003128C5">
      <w:pPr>
        <w:spacing w:before="396"/>
        <w:ind w:left="864"/>
        <w:rPr>
          <w:rFonts w:asciiTheme="majorBidi" w:hAnsiTheme="majorBidi" w:cstheme="majorBidi"/>
          <w:b/>
          <w:bCs/>
        </w:rPr>
      </w:pPr>
      <w:r w:rsidRPr="000F1583">
        <w:rPr>
          <w:rFonts w:asciiTheme="majorBidi" w:hAnsiTheme="majorBidi" w:cstheme="majorBidi"/>
          <w:b/>
          <w:bCs/>
        </w:rPr>
        <w:t>Conditions:</w:t>
      </w:r>
    </w:p>
    <w:p w14:paraId="57DD97CF" w14:textId="77777777" w:rsidR="0032019E" w:rsidRPr="000F1583" w:rsidRDefault="0032019E" w:rsidP="003128C5">
      <w:pPr>
        <w:spacing w:before="396"/>
        <w:ind w:left="864"/>
        <w:rPr>
          <w:rFonts w:asciiTheme="majorBidi" w:hAnsiTheme="majorBidi" w:cstheme="majorBidi"/>
          <w:b/>
          <w:bCs/>
        </w:rPr>
      </w:pPr>
      <w:r w:rsidRPr="000F1583">
        <w:rPr>
          <w:rFonts w:asciiTheme="majorBidi" w:hAnsiTheme="majorBidi" w:cstheme="majorBidi"/>
          <w:b/>
          <w:bCs/>
        </w:rPr>
        <w:t>The following conditions shall be applied</w:t>
      </w:r>
      <w:r w:rsidR="003128C5" w:rsidRPr="000F1583">
        <w:rPr>
          <w:rFonts w:asciiTheme="majorBidi" w:hAnsiTheme="majorBidi" w:cstheme="majorBidi"/>
          <w:b/>
          <w:bCs/>
        </w:rPr>
        <w:t xml:space="preserve"> beside the above payments</w:t>
      </w:r>
      <w:r w:rsidR="00EC7FE4" w:rsidRPr="000F1583">
        <w:rPr>
          <w:rFonts w:asciiTheme="majorBidi" w:hAnsiTheme="majorBidi" w:cstheme="majorBidi"/>
          <w:b/>
          <w:bCs/>
        </w:rPr>
        <w:t>;</w:t>
      </w:r>
    </w:p>
    <w:p w14:paraId="6B15C86C" w14:textId="77777777" w:rsidR="00A21CEC" w:rsidRPr="000F1583" w:rsidRDefault="00A21CEC" w:rsidP="00A21CEC">
      <w:pPr>
        <w:numPr>
          <w:ilvl w:val="0"/>
          <w:numId w:val="4"/>
        </w:numPr>
        <w:spacing w:before="396"/>
        <w:jc w:val="both"/>
        <w:rPr>
          <w:rFonts w:asciiTheme="majorBidi" w:hAnsiTheme="majorBidi" w:cstheme="majorBidi"/>
        </w:rPr>
      </w:pPr>
      <w:r w:rsidRPr="000F1583">
        <w:rPr>
          <w:rFonts w:asciiTheme="majorBidi" w:hAnsiTheme="majorBidi" w:cstheme="majorBidi"/>
        </w:rPr>
        <w:t>The applicant must pay all fees before assessment is carried.</w:t>
      </w:r>
    </w:p>
    <w:p w14:paraId="3DB6CA79" w14:textId="77777777" w:rsidR="0032019E" w:rsidRPr="000F1583" w:rsidRDefault="0032019E" w:rsidP="003128C5">
      <w:pPr>
        <w:numPr>
          <w:ilvl w:val="0"/>
          <w:numId w:val="4"/>
        </w:numPr>
        <w:spacing w:before="396"/>
        <w:jc w:val="both"/>
        <w:rPr>
          <w:rFonts w:asciiTheme="majorBidi" w:hAnsiTheme="majorBidi" w:cstheme="majorBidi"/>
          <w:b/>
          <w:bCs/>
        </w:rPr>
      </w:pPr>
      <w:r w:rsidRPr="000F1583">
        <w:rPr>
          <w:rFonts w:asciiTheme="majorBidi" w:hAnsiTheme="majorBidi" w:cstheme="majorBidi"/>
        </w:rPr>
        <w:t>The assessment team travel</w:t>
      </w:r>
      <w:r w:rsidR="008721D5" w:rsidRPr="000F1583">
        <w:rPr>
          <w:rFonts w:asciiTheme="majorBidi" w:hAnsiTheme="majorBidi" w:cstheme="majorBidi"/>
        </w:rPr>
        <w:t xml:space="preserve"> including visa arrangements/fee</w:t>
      </w:r>
      <w:r w:rsidRPr="000F1583">
        <w:rPr>
          <w:rFonts w:asciiTheme="majorBidi" w:hAnsiTheme="majorBidi" w:cstheme="majorBidi"/>
        </w:rPr>
        <w:t xml:space="preserve">, boarding, lodging, </w:t>
      </w:r>
      <w:proofErr w:type="spellStart"/>
      <w:r w:rsidRPr="000F1583">
        <w:rPr>
          <w:rFonts w:asciiTheme="majorBidi" w:hAnsiTheme="majorBidi" w:cstheme="majorBidi"/>
        </w:rPr>
        <w:t>etc</w:t>
      </w:r>
      <w:proofErr w:type="spellEnd"/>
      <w:r w:rsidRPr="000F1583">
        <w:rPr>
          <w:rFonts w:asciiTheme="majorBidi" w:hAnsiTheme="majorBidi" w:cstheme="majorBidi"/>
        </w:rPr>
        <w:t xml:space="preserve"> will be borne by the applicant. These charges apply to </w:t>
      </w:r>
      <w:r w:rsidR="00203C4C" w:rsidRPr="000F1583">
        <w:rPr>
          <w:rFonts w:asciiTheme="majorBidi" w:hAnsiTheme="majorBidi" w:cstheme="majorBidi"/>
        </w:rPr>
        <w:t xml:space="preserve">all types of assessment such as </w:t>
      </w:r>
      <w:r w:rsidRPr="000F1583">
        <w:rPr>
          <w:rFonts w:asciiTheme="majorBidi" w:hAnsiTheme="majorBidi" w:cstheme="majorBidi"/>
        </w:rPr>
        <w:t>pre-assessment, final assessment, surveillance, scope extension, witness assessment, re-assessment and extraordinary assessment</w:t>
      </w:r>
      <w:r w:rsidR="00E96710" w:rsidRPr="000F1583">
        <w:rPr>
          <w:rFonts w:asciiTheme="majorBidi" w:hAnsiTheme="majorBidi" w:cstheme="majorBidi"/>
        </w:rPr>
        <w:t>.</w:t>
      </w:r>
    </w:p>
    <w:p w14:paraId="28826BE2" w14:textId="77777777" w:rsidR="00526C14" w:rsidRPr="000F1583" w:rsidRDefault="00526C14" w:rsidP="003128C5">
      <w:pPr>
        <w:numPr>
          <w:ilvl w:val="0"/>
          <w:numId w:val="4"/>
        </w:numPr>
        <w:spacing w:before="396"/>
        <w:jc w:val="both"/>
        <w:rPr>
          <w:rFonts w:asciiTheme="majorBidi" w:hAnsiTheme="majorBidi" w:cstheme="majorBidi"/>
          <w:b/>
          <w:bCs/>
        </w:rPr>
      </w:pPr>
      <w:proofErr w:type="gramStart"/>
      <w:r w:rsidRPr="000F1583">
        <w:rPr>
          <w:rFonts w:asciiTheme="majorBidi" w:hAnsiTheme="majorBidi" w:cstheme="majorBidi"/>
        </w:rPr>
        <w:t>Man</w:t>
      </w:r>
      <w:proofErr w:type="gramEnd"/>
      <w:r w:rsidRPr="000F1583">
        <w:rPr>
          <w:rFonts w:asciiTheme="majorBidi" w:hAnsiTheme="majorBidi" w:cstheme="majorBidi"/>
        </w:rPr>
        <w:t xml:space="preserve"> days will be calculated based on the applied scope</w:t>
      </w:r>
    </w:p>
    <w:p w14:paraId="2E719478" w14:textId="77777777" w:rsidR="00E96710" w:rsidRPr="000F1583" w:rsidRDefault="00CF76E2" w:rsidP="003128C5">
      <w:pPr>
        <w:numPr>
          <w:ilvl w:val="0"/>
          <w:numId w:val="4"/>
        </w:numPr>
        <w:spacing w:before="396"/>
        <w:jc w:val="both"/>
        <w:rPr>
          <w:rFonts w:asciiTheme="majorBidi" w:hAnsiTheme="majorBidi" w:cstheme="majorBidi"/>
        </w:rPr>
      </w:pPr>
      <w:r w:rsidRPr="000F1583">
        <w:rPr>
          <w:rFonts w:asciiTheme="majorBidi" w:hAnsiTheme="majorBidi" w:cstheme="majorBidi"/>
        </w:rPr>
        <w:t>Prior to assessment activity taking place, PNAC will advise applicants of the costs for the varying assessment stages. PNAC will not exceed the quoted fee unless the applicant requests additional work, or there is some justification such as an unforeseen follow-up visit being requested, or incomplete or inaccurate information being submitted.</w:t>
      </w:r>
    </w:p>
    <w:p w14:paraId="5659917D" w14:textId="77777777" w:rsidR="00070C7B" w:rsidRPr="000F1583" w:rsidRDefault="00070C7B" w:rsidP="00070C7B">
      <w:pPr>
        <w:numPr>
          <w:ilvl w:val="0"/>
          <w:numId w:val="4"/>
        </w:numPr>
        <w:spacing w:before="396"/>
        <w:jc w:val="both"/>
        <w:rPr>
          <w:rFonts w:asciiTheme="majorBidi" w:hAnsiTheme="majorBidi" w:cstheme="majorBidi"/>
        </w:rPr>
      </w:pPr>
      <w:r w:rsidRPr="000F1583">
        <w:rPr>
          <w:rFonts w:asciiTheme="majorBidi" w:hAnsiTheme="majorBidi" w:cstheme="majorBidi"/>
          <w:spacing w:val="-3"/>
        </w:rPr>
        <w:t>The application fee is non – refundable and all fees are non – refundable after activity performed.</w:t>
      </w:r>
    </w:p>
    <w:p w14:paraId="452F56B4" w14:textId="272CB94A" w:rsidR="00CF76E2" w:rsidRPr="000F1583" w:rsidRDefault="00CF76E2" w:rsidP="003128C5">
      <w:pPr>
        <w:numPr>
          <w:ilvl w:val="0"/>
          <w:numId w:val="4"/>
        </w:numPr>
        <w:spacing w:before="396"/>
        <w:jc w:val="both"/>
        <w:rPr>
          <w:rFonts w:asciiTheme="majorBidi" w:hAnsiTheme="majorBidi" w:cstheme="majorBidi"/>
        </w:rPr>
      </w:pPr>
      <w:r w:rsidRPr="000F1583">
        <w:rPr>
          <w:rFonts w:asciiTheme="majorBidi" w:hAnsiTheme="majorBidi" w:cstheme="majorBidi"/>
          <w:spacing w:val="-3"/>
        </w:rPr>
        <w:t>PNAC charges are reviewed annually and are subject to alteration.</w:t>
      </w:r>
    </w:p>
    <w:p w14:paraId="79CD10F7" w14:textId="325A47AC" w:rsidR="00F137F3" w:rsidRPr="000F1583" w:rsidRDefault="00F137F3" w:rsidP="003128C5">
      <w:pPr>
        <w:numPr>
          <w:ilvl w:val="0"/>
          <w:numId w:val="4"/>
        </w:numPr>
        <w:spacing w:before="396"/>
        <w:jc w:val="both"/>
        <w:rPr>
          <w:rFonts w:asciiTheme="majorBidi" w:hAnsiTheme="majorBidi" w:cstheme="majorBidi"/>
        </w:rPr>
      </w:pPr>
      <w:r w:rsidRPr="000F1583">
        <w:rPr>
          <w:rFonts w:asciiTheme="majorBidi" w:hAnsiTheme="majorBidi" w:cstheme="majorBidi"/>
          <w:spacing w:val="-3"/>
        </w:rPr>
        <w:t>CABs applying from abroad (outside Pakistan) must pay their accreditation services fees through foreign currency bank account of PNAC. The cheques and other instrument will not be accepted.</w:t>
      </w:r>
      <w:r w:rsidR="00C81661">
        <w:rPr>
          <w:rFonts w:asciiTheme="majorBidi" w:hAnsiTheme="majorBidi" w:cstheme="majorBidi"/>
          <w:spacing w:val="-3"/>
        </w:rPr>
        <w:t xml:space="preserve"> </w:t>
      </w:r>
      <w:r w:rsidR="000F1583" w:rsidRPr="000F1583">
        <w:rPr>
          <w:rFonts w:asciiTheme="majorBidi" w:hAnsiTheme="majorBidi" w:cstheme="majorBidi"/>
          <w:spacing w:val="-3"/>
        </w:rPr>
        <w:lastRenderedPageBreak/>
        <w:t xml:space="preserve">The details of foreign currency account </w:t>
      </w:r>
      <w:proofErr w:type="gramStart"/>
      <w:r w:rsidR="000F1583" w:rsidRPr="000F1583">
        <w:rPr>
          <w:rFonts w:asciiTheme="majorBidi" w:hAnsiTheme="majorBidi" w:cstheme="majorBidi"/>
          <w:spacing w:val="-3"/>
        </w:rPr>
        <w:t>is</w:t>
      </w:r>
      <w:proofErr w:type="gramEnd"/>
      <w:r w:rsidR="000F1583" w:rsidRPr="000F1583">
        <w:rPr>
          <w:rFonts w:asciiTheme="majorBidi" w:hAnsiTheme="majorBidi" w:cstheme="majorBidi"/>
          <w:spacing w:val="-3"/>
        </w:rPr>
        <w:t xml:space="preserve"> as under;</w:t>
      </w:r>
    </w:p>
    <w:p w14:paraId="10E8F36F" w14:textId="77777777" w:rsidR="00C81661" w:rsidRDefault="00C81661" w:rsidP="000F1583">
      <w:pPr>
        <w:widowControl/>
        <w:shd w:val="clear" w:color="auto" w:fill="FFFFFF"/>
        <w:autoSpaceDE/>
        <w:autoSpaceDN/>
        <w:jc w:val="both"/>
        <w:rPr>
          <w:rFonts w:asciiTheme="majorBidi" w:hAnsiTheme="majorBidi" w:cstheme="majorBidi"/>
          <w:b/>
          <w:bCs/>
        </w:rPr>
      </w:pPr>
    </w:p>
    <w:p w14:paraId="5DC1DB90" w14:textId="16247D55" w:rsidR="000F1583" w:rsidRPr="000F1583" w:rsidRDefault="000F1583" w:rsidP="000F1583">
      <w:pPr>
        <w:widowControl/>
        <w:shd w:val="clear" w:color="auto" w:fill="FFFFFF"/>
        <w:autoSpaceDE/>
        <w:autoSpaceDN/>
        <w:jc w:val="both"/>
        <w:rPr>
          <w:rFonts w:asciiTheme="majorBidi" w:hAnsiTheme="majorBidi" w:cstheme="majorBidi"/>
        </w:rPr>
      </w:pPr>
      <w:r w:rsidRPr="000F1583">
        <w:rPr>
          <w:rFonts w:asciiTheme="majorBidi" w:hAnsiTheme="majorBidi" w:cstheme="majorBidi"/>
          <w:b/>
          <w:bCs/>
        </w:rPr>
        <w:t>Foreign Currency Account Details:</w:t>
      </w:r>
    </w:p>
    <w:p w14:paraId="71111D71" w14:textId="77777777" w:rsidR="000F1583" w:rsidRPr="000F1583" w:rsidRDefault="000F1583" w:rsidP="000F1583">
      <w:pPr>
        <w:widowControl/>
        <w:shd w:val="clear" w:color="auto" w:fill="FFFFFF"/>
        <w:autoSpaceDE/>
        <w:autoSpaceDN/>
        <w:jc w:val="both"/>
        <w:rPr>
          <w:rFonts w:asciiTheme="majorBidi" w:hAnsiTheme="majorBidi" w:cstheme="majorBidi"/>
        </w:rPr>
      </w:pPr>
      <w:r w:rsidRPr="000F1583">
        <w:rPr>
          <w:rFonts w:asciiTheme="majorBidi" w:hAnsiTheme="majorBidi" w:cstheme="majorBidi"/>
        </w:rPr>
        <w:t>Payment should be made in the name of </w:t>
      </w:r>
      <w:r w:rsidRPr="000F1583">
        <w:rPr>
          <w:rFonts w:asciiTheme="majorBidi" w:hAnsiTheme="majorBidi" w:cstheme="majorBidi"/>
          <w:b/>
          <w:bCs/>
        </w:rPr>
        <w:t>"Pakistan National Accreditation Council", </w:t>
      </w:r>
      <w:r w:rsidRPr="000F1583">
        <w:rPr>
          <w:rFonts w:asciiTheme="majorBidi" w:hAnsiTheme="majorBidi" w:cstheme="majorBidi"/>
        </w:rPr>
        <w:t>Islamabad.</w:t>
      </w:r>
    </w:p>
    <w:p w14:paraId="38A37B1A" w14:textId="77777777" w:rsidR="000F1583" w:rsidRPr="000F1583" w:rsidRDefault="000F1583" w:rsidP="000F1583">
      <w:pPr>
        <w:widowControl/>
        <w:shd w:val="clear" w:color="auto" w:fill="FFFFFF"/>
        <w:autoSpaceDE/>
        <w:autoSpaceDN/>
        <w:spacing w:before="150" w:after="150" w:line="240" w:lineRule="atLeast"/>
        <w:outlineLvl w:val="2"/>
        <w:rPr>
          <w:rFonts w:asciiTheme="majorBidi" w:hAnsiTheme="majorBidi" w:cstheme="majorBidi"/>
          <w:b/>
          <w:bCs/>
        </w:rPr>
      </w:pPr>
      <w:r w:rsidRPr="000F1583">
        <w:rPr>
          <w:rFonts w:asciiTheme="majorBidi" w:hAnsiTheme="majorBidi" w:cstheme="majorBidi"/>
          <w:b/>
          <w:bCs/>
        </w:rPr>
        <w:t xml:space="preserve">Please make payment </w:t>
      </w:r>
      <w:proofErr w:type="gramStart"/>
      <w:r w:rsidRPr="000F1583">
        <w:rPr>
          <w:rFonts w:asciiTheme="majorBidi" w:hAnsiTheme="majorBidi" w:cstheme="majorBidi"/>
          <w:b/>
          <w:bCs/>
        </w:rPr>
        <w:t>to:-</w:t>
      </w:r>
      <w:proofErr w:type="gramEnd"/>
    </w:p>
    <w:tbl>
      <w:tblPr>
        <w:tblW w:w="7500" w:type="dxa"/>
        <w:tblBorders>
          <w:top w:val="single" w:sz="6" w:space="0" w:color="DDDDDD"/>
          <w:left w:val="single" w:sz="6" w:space="0" w:color="DDDDDD"/>
          <w:bottom w:val="single" w:sz="6" w:space="0" w:color="DDDDDD"/>
          <w:right w:val="single" w:sz="6" w:space="0" w:color="DDDDDD"/>
        </w:tblBorders>
        <w:shd w:val="clear" w:color="auto" w:fill="FFFFFF"/>
        <w:tblCellMar>
          <w:top w:w="10" w:type="dxa"/>
          <w:left w:w="10" w:type="dxa"/>
          <w:bottom w:w="10" w:type="dxa"/>
          <w:right w:w="10" w:type="dxa"/>
        </w:tblCellMar>
        <w:tblLook w:val="04A0" w:firstRow="1" w:lastRow="0" w:firstColumn="1" w:lastColumn="0" w:noHBand="0" w:noVBand="1"/>
      </w:tblPr>
      <w:tblGrid>
        <w:gridCol w:w="441"/>
        <w:gridCol w:w="2058"/>
        <w:gridCol w:w="5001"/>
      </w:tblGrid>
      <w:tr w:rsidR="000F1583" w:rsidRPr="000F1583" w14:paraId="62F7EAFD"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2B66271" w14:textId="77777777" w:rsidR="000F1583" w:rsidRPr="000F1583" w:rsidRDefault="000F1583" w:rsidP="000F1583">
            <w:pPr>
              <w:widowControl/>
              <w:autoSpaceDE/>
              <w:autoSpaceDN/>
              <w:spacing w:after="300"/>
              <w:rPr>
                <w:rFonts w:asciiTheme="majorBidi" w:hAnsiTheme="majorBidi" w:cstheme="majorBidi"/>
              </w:rPr>
            </w:pPr>
            <w:proofErr w:type="spellStart"/>
            <w:r w:rsidRPr="000F1583">
              <w:rPr>
                <w:rFonts w:asciiTheme="majorBidi" w:hAnsiTheme="majorBidi" w:cstheme="majorBidi"/>
              </w:rPr>
              <w:t>i</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9EB8CA0"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Bank/Branch Name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7EAE77"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National Bank of Pakistan, Main Branch, Islamabad</w:t>
            </w:r>
          </w:p>
        </w:tc>
      </w:tr>
      <w:tr w:rsidR="000F1583" w:rsidRPr="000F1583" w14:paraId="10C3068C"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BFECAFE"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58BE5F5E"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Branch 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A5D84F9"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0341</w:t>
            </w:r>
          </w:p>
        </w:tc>
      </w:tr>
      <w:tr w:rsidR="000F1583" w:rsidRPr="000F1583" w14:paraId="2B25EEC6"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DEE448"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iii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15E85335"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Bank Address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CCCE2D0"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Civic Centre, Sector G-6, Islamabad, Pakistan</w:t>
            </w:r>
          </w:p>
        </w:tc>
      </w:tr>
      <w:tr w:rsidR="000F1583" w:rsidRPr="000F1583" w14:paraId="2BB46450"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6945F805"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iv</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C48CCB5"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Account Tittle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E1FD04"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Pakistan National Accreditation Council</w:t>
            </w:r>
          </w:p>
        </w:tc>
      </w:tr>
      <w:tr w:rsidR="000F1583" w:rsidRPr="000F1583" w14:paraId="5BCFD969"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2790D15"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v</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38F7A510"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IBAN Number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0F8426C4"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Pk41NBPA0341004153761585</w:t>
            </w:r>
          </w:p>
        </w:tc>
      </w:tr>
      <w:tr w:rsidR="000F1583" w:rsidRPr="000F1583" w14:paraId="723F23F5" w14:textId="77777777" w:rsidTr="000F1583">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4FD4716D"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vi</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4104C19"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Swift Code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20442B55" w14:textId="77777777" w:rsidR="000F1583" w:rsidRPr="000F1583" w:rsidRDefault="000F1583" w:rsidP="000F1583">
            <w:pPr>
              <w:widowControl/>
              <w:autoSpaceDE/>
              <w:autoSpaceDN/>
              <w:spacing w:after="300"/>
              <w:rPr>
                <w:rFonts w:asciiTheme="majorBidi" w:hAnsiTheme="majorBidi" w:cstheme="majorBidi"/>
              </w:rPr>
            </w:pPr>
            <w:r w:rsidRPr="000F1583">
              <w:rPr>
                <w:rFonts w:asciiTheme="majorBidi" w:hAnsiTheme="majorBidi" w:cstheme="majorBidi"/>
              </w:rPr>
              <w:t>NBPAPKKA021</w:t>
            </w:r>
          </w:p>
        </w:tc>
      </w:tr>
    </w:tbl>
    <w:p w14:paraId="13A3830C" w14:textId="77777777" w:rsidR="000F1583" w:rsidRPr="000F1583" w:rsidRDefault="000F1583" w:rsidP="000F1583">
      <w:pPr>
        <w:widowControl/>
        <w:shd w:val="clear" w:color="auto" w:fill="FFFFFF"/>
        <w:autoSpaceDE/>
        <w:autoSpaceDN/>
        <w:jc w:val="both"/>
        <w:rPr>
          <w:rFonts w:asciiTheme="majorBidi" w:hAnsiTheme="majorBidi" w:cstheme="majorBidi"/>
        </w:rPr>
      </w:pPr>
    </w:p>
    <w:p w14:paraId="7B53642A" w14:textId="1688141A" w:rsidR="000F1583" w:rsidRPr="000F1583" w:rsidRDefault="000F1583" w:rsidP="000F1583">
      <w:pPr>
        <w:widowControl/>
        <w:shd w:val="clear" w:color="auto" w:fill="FFFFFF"/>
        <w:autoSpaceDE/>
        <w:autoSpaceDN/>
        <w:jc w:val="both"/>
        <w:rPr>
          <w:rFonts w:asciiTheme="majorBidi" w:hAnsiTheme="majorBidi" w:cstheme="majorBidi"/>
        </w:rPr>
      </w:pPr>
      <w:r w:rsidRPr="000F1583">
        <w:rPr>
          <w:rFonts w:asciiTheme="majorBidi" w:hAnsiTheme="majorBidi" w:cstheme="majorBidi"/>
        </w:rPr>
        <w:t>Please quote the account title on your payment and email your record to </w:t>
      </w:r>
      <w:hyperlink r:id="rId7" w:history="1">
        <w:r w:rsidRPr="000F1583">
          <w:rPr>
            <w:rStyle w:val="Hyperlink"/>
            <w:rFonts w:asciiTheme="majorBidi" w:hAnsiTheme="majorBidi" w:cstheme="majorBidi"/>
            <w:b/>
            <w:bCs/>
            <w:color w:val="auto"/>
          </w:rPr>
          <w:t>dg@pnac.gov.pk</w:t>
        </w:r>
      </w:hyperlink>
      <w:r w:rsidRPr="000F1583">
        <w:rPr>
          <w:rFonts w:asciiTheme="majorBidi" w:hAnsiTheme="majorBidi" w:cstheme="majorBidi"/>
          <w:b/>
          <w:bCs/>
        </w:rPr>
        <w:t>, aao@pnac.gov.pk,</w:t>
      </w:r>
    </w:p>
    <w:p w14:paraId="49368A55" w14:textId="77777777" w:rsidR="000F1583" w:rsidRPr="000F1583" w:rsidRDefault="000F1583" w:rsidP="000F1583">
      <w:pPr>
        <w:widowControl/>
        <w:shd w:val="clear" w:color="auto" w:fill="FFFFFF"/>
        <w:autoSpaceDE/>
        <w:autoSpaceDN/>
        <w:jc w:val="both"/>
        <w:rPr>
          <w:rFonts w:asciiTheme="majorBidi" w:hAnsiTheme="majorBidi" w:cstheme="majorBidi"/>
        </w:rPr>
      </w:pPr>
      <w:r w:rsidRPr="000F1583">
        <w:rPr>
          <w:rFonts w:asciiTheme="majorBidi" w:hAnsiTheme="majorBidi" w:cstheme="majorBidi"/>
        </w:rPr>
        <w:t> </w:t>
      </w:r>
    </w:p>
    <w:p w14:paraId="4C65A815" w14:textId="77777777" w:rsidR="000F1583" w:rsidRPr="000F1583" w:rsidRDefault="000F1583" w:rsidP="000F1583">
      <w:pPr>
        <w:widowControl/>
        <w:shd w:val="clear" w:color="auto" w:fill="FFFFFF"/>
        <w:autoSpaceDE/>
        <w:autoSpaceDN/>
        <w:rPr>
          <w:rFonts w:asciiTheme="majorBidi" w:hAnsiTheme="majorBidi" w:cstheme="majorBidi"/>
        </w:rPr>
      </w:pPr>
      <w:r w:rsidRPr="000F1583">
        <w:rPr>
          <w:rFonts w:asciiTheme="majorBidi" w:hAnsiTheme="majorBidi" w:cstheme="majorBidi"/>
          <w:b/>
          <w:bCs/>
        </w:rPr>
        <w:t>Contact Number:   +9251-9222335</w:t>
      </w:r>
    </w:p>
    <w:p w14:paraId="41D95884" w14:textId="77777777" w:rsidR="000F1583" w:rsidRPr="000F1583" w:rsidRDefault="000F1583" w:rsidP="000F1583">
      <w:pPr>
        <w:spacing w:before="396"/>
        <w:jc w:val="both"/>
        <w:rPr>
          <w:rFonts w:asciiTheme="majorBidi" w:hAnsiTheme="majorBidi" w:cstheme="majorBidi"/>
        </w:rPr>
      </w:pPr>
    </w:p>
    <w:sectPr w:rsidR="000F1583" w:rsidRPr="000F1583">
      <w:headerReference w:type="default" r:id="rId8"/>
      <w:footerReference w:type="default" r:id="rId9"/>
      <w:pgSz w:w="11904" w:h="16843"/>
      <w:pgMar w:top="540" w:right="938" w:bottom="181" w:left="82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9AB32" w14:textId="77777777" w:rsidR="00C86B8E" w:rsidRDefault="00C86B8E" w:rsidP="000F1583">
      <w:r>
        <w:separator/>
      </w:r>
    </w:p>
  </w:endnote>
  <w:endnote w:type="continuationSeparator" w:id="0">
    <w:p w14:paraId="79FBA926" w14:textId="77777777" w:rsidR="00C86B8E" w:rsidRDefault="00C86B8E" w:rsidP="000F1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315556"/>
      <w:docPartObj>
        <w:docPartGallery w:val="Page Numbers (Bottom of Page)"/>
        <w:docPartUnique/>
      </w:docPartObj>
    </w:sdtPr>
    <w:sdtContent>
      <w:sdt>
        <w:sdtPr>
          <w:id w:val="1728636285"/>
          <w:docPartObj>
            <w:docPartGallery w:val="Page Numbers (Top of Page)"/>
            <w:docPartUnique/>
          </w:docPartObj>
        </w:sdtPr>
        <w:sdtContent>
          <w:p w14:paraId="06F881CF" w14:textId="6F48609F" w:rsidR="000F1583" w:rsidRDefault="000F1583">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4C1C3EE" w14:textId="77777777" w:rsidR="000F1583" w:rsidRDefault="000F15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0997" w14:textId="77777777" w:rsidR="00C86B8E" w:rsidRDefault="00C86B8E" w:rsidP="000F1583">
      <w:r>
        <w:separator/>
      </w:r>
    </w:p>
  </w:footnote>
  <w:footnote w:type="continuationSeparator" w:id="0">
    <w:p w14:paraId="17BA155F" w14:textId="77777777" w:rsidR="00C86B8E" w:rsidRDefault="00C86B8E" w:rsidP="000F1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6"/>
      <w:gridCol w:w="5085"/>
      <w:gridCol w:w="2492"/>
    </w:tblGrid>
    <w:tr w:rsidR="00C81661" w:rsidRPr="000F1583" w14:paraId="54C63574" w14:textId="77777777" w:rsidTr="003F37FC">
      <w:trPr>
        <w:trHeight w:hRule="exact" w:val="1081"/>
      </w:trPr>
      <w:tc>
        <w:tcPr>
          <w:tcW w:w="2246" w:type="dxa"/>
        </w:tcPr>
        <w:p w14:paraId="31A9168B" w14:textId="77777777" w:rsidR="00C81661" w:rsidRPr="000F1583" w:rsidRDefault="00C81661" w:rsidP="00C81661">
          <w:pPr>
            <w:rPr>
              <w:rFonts w:asciiTheme="majorBidi" w:hAnsiTheme="majorBidi" w:cstheme="majorBidi"/>
            </w:rPr>
          </w:pPr>
          <w:r w:rsidRPr="000F1583">
            <w:rPr>
              <w:rFonts w:asciiTheme="majorBidi" w:hAnsiTheme="majorBidi" w:cstheme="majorBidi"/>
              <w:noProof/>
            </w:rPr>
            <w:drawing>
              <wp:inline distT="0" distB="0" distL="0" distR="0" wp14:anchorId="52FD8B71" wp14:editId="63DB41E5">
                <wp:extent cx="133985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647700"/>
                        </a:xfrm>
                        <a:prstGeom prst="rect">
                          <a:avLst/>
                        </a:prstGeom>
                        <a:noFill/>
                        <a:ln>
                          <a:noFill/>
                        </a:ln>
                      </pic:spPr>
                    </pic:pic>
                  </a:graphicData>
                </a:graphic>
              </wp:inline>
            </w:drawing>
          </w:r>
        </w:p>
      </w:tc>
      <w:tc>
        <w:tcPr>
          <w:tcW w:w="5085" w:type="dxa"/>
          <w:vAlign w:val="center"/>
        </w:tcPr>
        <w:p w14:paraId="3ED2AEE2" w14:textId="77777777" w:rsidR="00C81661" w:rsidRPr="000F1583" w:rsidRDefault="00C81661" w:rsidP="00C81661">
          <w:pPr>
            <w:jc w:val="center"/>
            <w:rPr>
              <w:rFonts w:asciiTheme="majorBidi" w:hAnsiTheme="majorBidi" w:cstheme="majorBidi"/>
              <w:b/>
              <w:bCs/>
            </w:rPr>
          </w:pPr>
          <w:r w:rsidRPr="000F1583">
            <w:rPr>
              <w:rFonts w:asciiTheme="majorBidi" w:hAnsiTheme="majorBidi" w:cstheme="majorBidi"/>
              <w:b/>
              <w:bCs/>
            </w:rPr>
            <w:t>Fee Schedule for Accreditation of Conformity Assessment Bodies (CABs)</w:t>
          </w:r>
        </w:p>
      </w:tc>
      <w:tc>
        <w:tcPr>
          <w:tcW w:w="2492" w:type="dxa"/>
          <w:vAlign w:val="center"/>
        </w:tcPr>
        <w:p w14:paraId="338BEC85" w14:textId="77777777" w:rsidR="00C81661" w:rsidRPr="000F1583" w:rsidRDefault="00C81661" w:rsidP="00C81661">
          <w:pPr>
            <w:ind w:left="121"/>
            <w:rPr>
              <w:rFonts w:asciiTheme="majorBidi" w:hAnsiTheme="majorBidi" w:cstheme="majorBidi"/>
              <w:b/>
              <w:bCs/>
            </w:rPr>
          </w:pPr>
          <w:r w:rsidRPr="000F1583">
            <w:rPr>
              <w:rFonts w:asciiTheme="majorBidi" w:hAnsiTheme="majorBidi" w:cstheme="majorBidi"/>
              <w:b/>
              <w:bCs/>
            </w:rPr>
            <w:t>F-01/02</w:t>
          </w:r>
        </w:p>
        <w:p w14:paraId="19FD6AAF" w14:textId="0EC3044F" w:rsidR="00C81661" w:rsidRPr="000F1583" w:rsidRDefault="00C81661" w:rsidP="00C81661">
          <w:pPr>
            <w:ind w:left="72"/>
            <w:rPr>
              <w:rFonts w:asciiTheme="majorBidi" w:hAnsiTheme="majorBidi" w:cstheme="majorBidi"/>
              <w:b/>
              <w:bCs/>
            </w:rPr>
          </w:pPr>
          <w:r w:rsidRPr="000F1583">
            <w:rPr>
              <w:rFonts w:asciiTheme="majorBidi" w:hAnsiTheme="majorBidi" w:cstheme="majorBidi"/>
              <w:b/>
              <w:bCs/>
            </w:rPr>
            <w:t xml:space="preserve">Issue Date: </w:t>
          </w:r>
          <w:r w:rsidR="00587E0D">
            <w:rPr>
              <w:rFonts w:asciiTheme="majorBidi" w:hAnsiTheme="majorBidi" w:cstheme="majorBidi"/>
              <w:b/>
              <w:bCs/>
            </w:rPr>
            <w:t>19</w:t>
          </w:r>
          <w:r w:rsidRPr="000F1583">
            <w:rPr>
              <w:rFonts w:asciiTheme="majorBidi" w:hAnsiTheme="majorBidi" w:cstheme="majorBidi"/>
              <w:b/>
              <w:bCs/>
            </w:rPr>
            <w:t>/</w:t>
          </w:r>
          <w:r w:rsidR="00587E0D">
            <w:rPr>
              <w:rFonts w:asciiTheme="majorBidi" w:hAnsiTheme="majorBidi" w:cstheme="majorBidi"/>
              <w:b/>
              <w:bCs/>
            </w:rPr>
            <w:t>12</w:t>
          </w:r>
          <w:r w:rsidRPr="000F1583">
            <w:rPr>
              <w:rFonts w:asciiTheme="majorBidi" w:hAnsiTheme="majorBidi" w:cstheme="majorBidi"/>
              <w:b/>
              <w:bCs/>
            </w:rPr>
            <w:t>/2022</w:t>
          </w:r>
        </w:p>
        <w:p w14:paraId="29F2702D" w14:textId="25AB4917" w:rsidR="00C81661" w:rsidRPr="000F1583" w:rsidRDefault="00C81661" w:rsidP="00C81661">
          <w:pPr>
            <w:ind w:left="72"/>
            <w:rPr>
              <w:rFonts w:asciiTheme="majorBidi" w:hAnsiTheme="majorBidi" w:cstheme="majorBidi"/>
              <w:b/>
              <w:bCs/>
            </w:rPr>
          </w:pPr>
          <w:r w:rsidRPr="000F1583">
            <w:rPr>
              <w:rFonts w:asciiTheme="majorBidi" w:hAnsiTheme="majorBidi" w:cstheme="majorBidi"/>
              <w:b/>
              <w:bCs/>
            </w:rPr>
            <w:t>Rev No: 1</w:t>
          </w:r>
          <w:r w:rsidR="00587E0D">
            <w:rPr>
              <w:rFonts w:asciiTheme="majorBidi" w:hAnsiTheme="majorBidi" w:cstheme="majorBidi"/>
              <w:b/>
              <w:bCs/>
            </w:rPr>
            <w:t>1</w:t>
          </w:r>
        </w:p>
      </w:tc>
    </w:tr>
  </w:tbl>
  <w:p w14:paraId="6F8A2F8F" w14:textId="77777777" w:rsidR="00C81661" w:rsidRDefault="00C81661" w:rsidP="00D17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C3CC2"/>
    <w:multiLevelType w:val="singleLevel"/>
    <w:tmpl w:val="FFFFFFFF"/>
    <w:lvl w:ilvl="0">
      <w:numFmt w:val="bullet"/>
      <w:lvlText w:val="·"/>
      <w:lvlJc w:val="left"/>
      <w:pPr>
        <w:tabs>
          <w:tab w:val="num" w:pos="1656"/>
        </w:tabs>
        <w:ind w:left="1296"/>
      </w:pPr>
      <w:rPr>
        <w:rFonts w:ascii="Symbol" w:hAnsi="Symbol" w:hint="default"/>
        <w:color w:val="000000"/>
      </w:rPr>
    </w:lvl>
  </w:abstractNum>
  <w:abstractNum w:abstractNumId="1" w15:restartNumberingAfterBreak="0">
    <w:nsid w:val="3C2C30AE"/>
    <w:multiLevelType w:val="hybridMultilevel"/>
    <w:tmpl w:val="FFFFFFFF"/>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49F46C8A"/>
    <w:multiLevelType w:val="hybridMultilevel"/>
    <w:tmpl w:val="FFFFFFFF"/>
    <w:lvl w:ilvl="0" w:tplc="8C30AAA4">
      <w:start w:val="1"/>
      <w:numFmt w:val="decimal"/>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tentative="1">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3" w15:restartNumberingAfterBreak="0">
    <w:nsid w:val="5494DDFE"/>
    <w:multiLevelType w:val="singleLevel"/>
    <w:tmpl w:val="FFFFFFFF"/>
    <w:lvl w:ilvl="0">
      <w:numFmt w:val="bullet"/>
      <w:lvlText w:val="·"/>
      <w:lvlJc w:val="left"/>
      <w:pPr>
        <w:tabs>
          <w:tab w:val="num" w:pos="1656"/>
        </w:tabs>
        <w:ind w:left="1296"/>
      </w:pPr>
      <w:rPr>
        <w:rFonts w:ascii="Symbol" w:hAnsi="Symbol" w:hint="default"/>
        <w:color w:val="000000"/>
      </w:rPr>
    </w:lvl>
  </w:abstractNum>
  <w:num w:numId="1" w16cid:durableId="497381430">
    <w:abstractNumId w:val="0"/>
  </w:num>
  <w:num w:numId="2" w16cid:durableId="461001856">
    <w:abstractNumId w:val="3"/>
  </w:num>
  <w:num w:numId="3" w16cid:durableId="1898084758">
    <w:abstractNumId w:val="1"/>
  </w:num>
  <w:num w:numId="4" w16cid:durableId="867839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1szA1tzQzsrQ0M7BQ0lEKTi0uzszPAykwrAUAnXkB5CwAAAA="/>
  </w:docVars>
  <w:rsids>
    <w:rsidRoot w:val="002A1E84"/>
    <w:rsid w:val="0005744C"/>
    <w:rsid w:val="00070C7B"/>
    <w:rsid w:val="000F1583"/>
    <w:rsid w:val="0017652D"/>
    <w:rsid w:val="001C1807"/>
    <w:rsid w:val="00203C4C"/>
    <w:rsid w:val="00224DB0"/>
    <w:rsid w:val="00284CBA"/>
    <w:rsid w:val="002868EA"/>
    <w:rsid w:val="002A1E84"/>
    <w:rsid w:val="002D4B8E"/>
    <w:rsid w:val="00307147"/>
    <w:rsid w:val="003128C5"/>
    <w:rsid w:val="0032019E"/>
    <w:rsid w:val="00321012"/>
    <w:rsid w:val="00397182"/>
    <w:rsid w:val="00466BA1"/>
    <w:rsid w:val="00487E95"/>
    <w:rsid w:val="004F3C3D"/>
    <w:rsid w:val="00526C14"/>
    <w:rsid w:val="0055370B"/>
    <w:rsid w:val="00587E0D"/>
    <w:rsid w:val="005C11D7"/>
    <w:rsid w:val="005C5B23"/>
    <w:rsid w:val="005D48AC"/>
    <w:rsid w:val="005E2CFC"/>
    <w:rsid w:val="0060626C"/>
    <w:rsid w:val="006427C3"/>
    <w:rsid w:val="00654D44"/>
    <w:rsid w:val="00690A1E"/>
    <w:rsid w:val="006B0EEE"/>
    <w:rsid w:val="006E5BC6"/>
    <w:rsid w:val="007237D0"/>
    <w:rsid w:val="00731A74"/>
    <w:rsid w:val="00773960"/>
    <w:rsid w:val="00787038"/>
    <w:rsid w:val="00821480"/>
    <w:rsid w:val="008721D5"/>
    <w:rsid w:val="00884912"/>
    <w:rsid w:val="008D02C5"/>
    <w:rsid w:val="008F3DB8"/>
    <w:rsid w:val="00980B24"/>
    <w:rsid w:val="009A3FAC"/>
    <w:rsid w:val="009B04A5"/>
    <w:rsid w:val="009D69E4"/>
    <w:rsid w:val="009E165A"/>
    <w:rsid w:val="00A21CEC"/>
    <w:rsid w:val="00A662C4"/>
    <w:rsid w:val="00A8486A"/>
    <w:rsid w:val="00AB497A"/>
    <w:rsid w:val="00B07F86"/>
    <w:rsid w:val="00B22630"/>
    <w:rsid w:val="00B92FC6"/>
    <w:rsid w:val="00BB4C33"/>
    <w:rsid w:val="00C0558F"/>
    <w:rsid w:val="00C73D17"/>
    <w:rsid w:val="00C773E0"/>
    <w:rsid w:val="00C81661"/>
    <w:rsid w:val="00C86B8E"/>
    <w:rsid w:val="00CA5431"/>
    <w:rsid w:val="00CF5DC7"/>
    <w:rsid w:val="00CF76E2"/>
    <w:rsid w:val="00D17BCA"/>
    <w:rsid w:val="00D5475C"/>
    <w:rsid w:val="00D83131"/>
    <w:rsid w:val="00DE497A"/>
    <w:rsid w:val="00E217B6"/>
    <w:rsid w:val="00E45F21"/>
    <w:rsid w:val="00E64B44"/>
    <w:rsid w:val="00E96710"/>
    <w:rsid w:val="00EC7FE4"/>
    <w:rsid w:val="00F137F3"/>
    <w:rsid w:val="00F20DC8"/>
    <w:rsid w:val="00F93FDA"/>
    <w:rsid w:val="00FF51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16D0B0"/>
  <w14:defaultImageDpi w14:val="0"/>
  <w15:docId w15:val="{C5F2A5EF-32AF-44DF-B3F2-8C9F5CF1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4912"/>
    <w:pPr>
      <w:widowControl w:val="0"/>
      <w:autoSpaceDE w:val="0"/>
      <w:autoSpaceDN w:val="0"/>
      <w:spacing w:after="0" w:line="240" w:lineRule="auto"/>
    </w:pPr>
    <w:rPr>
      <w:sz w:val="24"/>
      <w:szCs w:val="24"/>
    </w:rPr>
  </w:style>
  <w:style w:type="character" w:styleId="Hyperlink">
    <w:name w:val="Hyperlink"/>
    <w:basedOn w:val="DefaultParagraphFont"/>
    <w:uiPriority w:val="99"/>
    <w:rsid w:val="000F1583"/>
    <w:rPr>
      <w:color w:val="0000FF" w:themeColor="hyperlink"/>
      <w:u w:val="single"/>
    </w:rPr>
  </w:style>
  <w:style w:type="character" w:styleId="UnresolvedMention">
    <w:name w:val="Unresolved Mention"/>
    <w:basedOn w:val="DefaultParagraphFont"/>
    <w:uiPriority w:val="99"/>
    <w:semiHidden/>
    <w:unhideWhenUsed/>
    <w:rsid w:val="000F1583"/>
    <w:rPr>
      <w:color w:val="605E5C"/>
      <w:shd w:val="clear" w:color="auto" w:fill="E1DFDD"/>
    </w:rPr>
  </w:style>
  <w:style w:type="paragraph" w:styleId="Header">
    <w:name w:val="header"/>
    <w:basedOn w:val="Normal"/>
    <w:link w:val="HeaderChar"/>
    <w:uiPriority w:val="99"/>
    <w:rsid w:val="000F1583"/>
    <w:pPr>
      <w:tabs>
        <w:tab w:val="center" w:pos="4680"/>
        <w:tab w:val="right" w:pos="9360"/>
      </w:tabs>
    </w:pPr>
  </w:style>
  <w:style w:type="character" w:customStyle="1" w:styleId="HeaderChar">
    <w:name w:val="Header Char"/>
    <w:basedOn w:val="DefaultParagraphFont"/>
    <w:link w:val="Header"/>
    <w:uiPriority w:val="99"/>
    <w:rsid w:val="000F1583"/>
    <w:rPr>
      <w:sz w:val="24"/>
      <w:szCs w:val="24"/>
    </w:rPr>
  </w:style>
  <w:style w:type="paragraph" w:styleId="Footer">
    <w:name w:val="footer"/>
    <w:basedOn w:val="Normal"/>
    <w:link w:val="FooterChar"/>
    <w:uiPriority w:val="99"/>
    <w:rsid w:val="000F1583"/>
    <w:pPr>
      <w:tabs>
        <w:tab w:val="center" w:pos="4680"/>
        <w:tab w:val="right" w:pos="9360"/>
      </w:tabs>
    </w:pPr>
  </w:style>
  <w:style w:type="character" w:customStyle="1" w:styleId="FooterChar">
    <w:name w:val="Footer Char"/>
    <w:basedOn w:val="DefaultParagraphFont"/>
    <w:link w:val="Footer"/>
    <w:uiPriority w:val="99"/>
    <w:rsid w:val="000F1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933730">
      <w:bodyDiv w:val="1"/>
      <w:marLeft w:val="0"/>
      <w:marRight w:val="0"/>
      <w:marTop w:val="0"/>
      <w:marBottom w:val="0"/>
      <w:divBdr>
        <w:top w:val="none" w:sz="0" w:space="0" w:color="auto"/>
        <w:left w:val="none" w:sz="0" w:space="0" w:color="auto"/>
        <w:bottom w:val="none" w:sz="0" w:space="0" w:color="auto"/>
        <w:right w:val="none" w:sz="0" w:space="0" w:color="auto"/>
      </w:divBdr>
      <w:divsChild>
        <w:div w:id="1770929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pnac.gov.p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Azhar Iqbal</dc:creator>
  <cp:keywords> </cp:keywords>
  <dc:description/>
  <cp:lastModifiedBy>Azhar Iqbal</cp:lastModifiedBy>
  <cp:revision>7</cp:revision>
  <cp:lastPrinted>2022-04-23T07:36:00Z</cp:lastPrinted>
  <dcterms:created xsi:type="dcterms:W3CDTF">2022-12-19T10:24:00Z</dcterms:created>
  <dcterms:modified xsi:type="dcterms:W3CDTF">2022-12-21T06:10:00Z</dcterms:modified>
</cp:coreProperties>
</file>